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1"/>
        <w:gridCol w:w="3309"/>
      </w:tblGrid>
      <w:tr w:rsidR="00AE4E85" w:rsidRPr="00F54973" w:rsidTr="00AE4E85">
        <w:tc>
          <w:tcPr>
            <w:tcW w:w="3415" w:type="pct"/>
            <w:shd w:val="clear" w:color="auto" w:fill="D9D9D9"/>
          </w:tcPr>
          <w:p w:rsidR="00AE4E85" w:rsidRPr="00F54973" w:rsidRDefault="00AE4E85" w:rsidP="00D301EC">
            <w:pPr>
              <w:spacing w:before="120" w:after="120"/>
              <w:rPr>
                <w:rFonts w:ascii="Arial" w:hAnsi="Arial" w:cs="Arial"/>
                <w:b/>
                <w:sz w:val="22"/>
                <w:szCs w:val="22"/>
              </w:rPr>
            </w:pPr>
            <w:r w:rsidRPr="00F54973">
              <w:rPr>
                <w:rFonts w:ascii="Arial" w:hAnsi="Arial" w:cs="Arial"/>
                <w:b/>
                <w:sz w:val="22"/>
                <w:szCs w:val="22"/>
              </w:rPr>
              <w:br/>
              <w:t>FORA Master Resolution criteria</w:t>
            </w:r>
          </w:p>
        </w:tc>
        <w:tc>
          <w:tcPr>
            <w:tcW w:w="1585" w:type="pct"/>
            <w:shd w:val="clear" w:color="auto" w:fill="D9D9D9"/>
          </w:tcPr>
          <w:p w:rsidR="00AE4E85" w:rsidRPr="00F54973" w:rsidRDefault="00AE4E85" w:rsidP="00D301EC">
            <w:pPr>
              <w:spacing w:before="120" w:after="120"/>
              <w:jc w:val="center"/>
              <w:rPr>
                <w:rFonts w:ascii="Arial" w:hAnsi="Arial" w:cs="Arial"/>
                <w:b/>
                <w:sz w:val="22"/>
                <w:szCs w:val="22"/>
              </w:rPr>
            </w:pPr>
          </w:p>
          <w:p w:rsidR="00AE4E85" w:rsidRPr="00F54973" w:rsidRDefault="00AE4E85" w:rsidP="00D301EC">
            <w:pPr>
              <w:spacing w:before="120" w:after="120"/>
              <w:jc w:val="center"/>
              <w:rPr>
                <w:rFonts w:ascii="Arial" w:hAnsi="Arial" w:cs="Arial"/>
                <w:b/>
                <w:sz w:val="22"/>
                <w:szCs w:val="22"/>
              </w:rPr>
            </w:pPr>
            <w:r w:rsidRPr="00F54973">
              <w:rPr>
                <w:rFonts w:ascii="Arial" w:hAnsi="Arial" w:cs="Arial"/>
                <w:b/>
                <w:sz w:val="22"/>
                <w:szCs w:val="22"/>
              </w:rPr>
              <w:t>Discussion</w:t>
            </w:r>
          </w:p>
        </w:tc>
      </w:tr>
      <w:tr w:rsidR="00AE4E85" w:rsidRPr="00F54973" w:rsidTr="00AE4E85">
        <w:trPr>
          <w:trHeight w:val="481"/>
        </w:trPr>
        <w:tc>
          <w:tcPr>
            <w:tcW w:w="5000" w:type="pct"/>
            <w:gridSpan w:val="2"/>
            <w:shd w:val="clear" w:color="auto" w:fill="D9D9D9"/>
          </w:tcPr>
          <w:p w:rsidR="00AE4E85" w:rsidRPr="00F54973" w:rsidRDefault="00AE4E85" w:rsidP="00D301EC">
            <w:pPr>
              <w:pStyle w:val="Default"/>
              <w:spacing w:before="120" w:after="120"/>
              <w:rPr>
                <w:b/>
                <w:bCs/>
                <w:sz w:val="22"/>
                <w:szCs w:val="22"/>
              </w:rPr>
            </w:pPr>
            <w:r w:rsidRPr="00F54973">
              <w:rPr>
                <w:b/>
                <w:bCs/>
                <w:sz w:val="22"/>
                <w:szCs w:val="22"/>
              </w:rPr>
              <w:t>LEGISLATIVE LAND USE DECISION CONSISTENCY</w:t>
            </w:r>
          </w:p>
        </w:tc>
      </w:tr>
      <w:tr w:rsidR="00AE4E85" w:rsidRPr="00F54973" w:rsidTr="00D301EC">
        <w:trPr>
          <w:trHeight w:val="1019"/>
        </w:trPr>
        <w:tc>
          <w:tcPr>
            <w:tcW w:w="5000" w:type="pct"/>
            <w:gridSpan w:val="2"/>
          </w:tcPr>
          <w:p w:rsidR="00AE4E85" w:rsidRPr="00F54973" w:rsidRDefault="00AE4E85" w:rsidP="00D301EC">
            <w:pPr>
              <w:spacing w:before="120" w:after="120"/>
              <w:ind w:left="360" w:hanging="360"/>
              <w:rPr>
                <w:rFonts w:ascii="Arial" w:hAnsi="Arial" w:cs="Arial"/>
                <w:b/>
                <w:bCs/>
                <w:sz w:val="22"/>
                <w:szCs w:val="22"/>
              </w:rPr>
            </w:pPr>
            <w:r w:rsidRPr="0015627D">
              <w:rPr>
                <w:rFonts w:ascii="Arial" w:hAnsi="Arial" w:cs="Arial"/>
                <w:b/>
                <w:sz w:val="22"/>
                <w:szCs w:val="22"/>
              </w:rPr>
              <w:t>8.02.010</w:t>
            </w:r>
            <w:r>
              <w:rPr>
                <w:rFonts w:ascii="Arial" w:hAnsi="Arial" w:cs="Arial"/>
                <w:sz w:val="22"/>
                <w:szCs w:val="22"/>
              </w:rPr>
              <w:t xml:space="preserve"> </w:t>
            </w:r>
            <w:r w:rsidRPr="00F54973">
              <w:rPr>
                <w:rFonts w:ascii="Arial" w:hAnsi="Arial" w:cs="Arial"/>
                <w:sz w:val="22"/>
                <w:szCs w:val="22"/>
              </w:rPr>
              <w:t xml:space="preserve">(a)  In the review, evaluation, and determination of consistency regarding legislative land use decisions, the Authority Board shall disapprove any legislative land use decision for which there is substantial evidence supported by the record, that </w:t>
            </w:r>
          </w:p>
        </w:tc>
      </w:tr>
      <w:tr w:rsidR="00AE4E85" w:rsidRPr="00F54973" w:rsidTr="00D301EC">
        <w:trPr>
          <w:trHeight w:val="474"/>
        </w:trPr>
        <w:tc>
          <w:tcPr>
            <w:tcW w:w="3415" w:type="pct"/>
            <w:vAlign w:val="center"/>
          </w:tcPr>
          <w:p w:rsidR="00AE4E85" w:rsidRPr="00F54973" w:rsidRDefault="00AE4E85" w:rsidP="00D301EC">
            <w:pPr>
              <w:pStyle w:val="Default"/>
              <w:spacing w:before="120" w:after="120"/>
              <w:ind w:left="360"/>
              <w:rPr>
                <w:b/>
                <w:bCs/>
                <w:sz w:val="22"/>
                <w:szCs w:val="22"/>
              </w:rPr>
            </w:pPr>
            <w:r w:rsidRPr="00F54973">
              <w:rPr>
                <w:sz w:val="22"/>
                <w:szCs w:val="22"/>
              </w:rPr>
              <w:t xml:space="preserve">(1) Provides a land use designation that allows more intense land uses than the uses permitted in the Reuse Plan for the affected territory; </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491"/>
        </w:trPr>
        <w:tc>
          <w:tcPr>
            <w:tcW w:w="3415" w:type="pct"/>
            <w:vAlign w:val="center"/>
          </w:tcPr>
          <w:p w:rsidR="00AE4E85" w:rsidRPr="00F54973" w:rsidRDefault="00AE4E85" w:rsidP="00D301EC">
            <w:pPr>
              <w:pStyle w:val="Default"/>
              <w:spacing w:before="120" w:after="120"/>
              <w:ind w:left="360"/>
              <w:rPr>
                <w:sz w:val="22"/>
                <w:szCs w:val="22"/>
              </w:rPr>
            </w:pPr>
            <w:r w:rsidRPr="00F54973">
              <w:rPr>
                <w:sz w:val="22"/>
                <w:szCs w:val="22"/>
              </w:rPr>
              <w:t xml:space="preserve">(2) Provides for a development more dense than the density of use permitted in the Reuse Plan for the affected territory; </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755"/>
        </w:trPr>
        <w:tc>
          <w:tcPr>
            <w:tcW w:w="3415" w:type="pct"/>
            <w:vAlign w:val="center"/>
          </w:tcPr>
          <w:p w:rsidR="00AE4E85" w:rsidRPr="00F54973" w:rsidRDefault="00AE4E85" w:rsidP="00D301EC">
            <w:pPr>
              <w:pStyle w:val="Default"/>
              <w:spacing w:before="120" w:after="120"/>
              <w:ind w:left="360"/>
              <w:rPr>
                <w:sz w:val="22"/>
                <w:szCs w:val="22"/>
              </w:rPr>
            </w:pPr>
            <w:r w:rsidRPr="00F54973">
              <w:rPr>
                <w:sz w:val="22"/>
                <w:szCs w:val="22"/>
              </w:rPr>
              <w:t>(3) Is not in substantial conformance with applicable programs specified in the Reuse Plan and Section 8.02.020 of this Master Resolution;</w:t>
            </w:r>
          </w:p>
        </w:tc>
        <w:tc>
          <w:tcPr>
            <w:tcW w:w="1585" w:type="pct"/>
            <w:vAlign w:val="center"/>
          </w:tcPr>
          <w:p w:rsidR="00AE4E85" w:rsidRPr="00F54973" w:rsidRDefault="00AE4E85" w:rsidP="00D301EC">
            <w:pPr>
              <w:spacing w:before="120" w:after="120"/>
              <w:rPr>
                <w:rFonts w:ascii="Arial" w:hAnsi="Arial" w:cs="Arial"/>
                <w:sz w:val="22"/>
                <w:szCs w:val="22"/>
              </w:rPr>
            </w:pPr>
            <w:r w:rsidRPr="00F54973">
              <w:rPr>
                <w:rFonts w:ascii="Arial" w:hAnsi="Arial" w:cs="Arial"/>
                <w:sz w:val="22"/>
                <w:szCs w:val="22"/>
              </w:rPr>
              <w:t>SEE SEPARATE WORKSHEET</w:t>
            </w:r>
          </w:p>
        </w:tc>
      </w:tr>
      <w:tr w:rsidR="00AE4E85" w:rsidRPr="00F54973" w:rsidTr="00D301EC">
        <w:trPr>
          <w:trHeight w:val="1001"/>
        </w:trPr>
        <w:tc>
          <w:tcPr>
            <w:tcW w:w="3415" w:type="pct"/>
            <w:vAlign w:val="center"/>
          </w:tcPr>
          <w:p w:rsidR="00AE4E85" w:rsidRPr="00F54973" w:rsidRDefault="00AE4E85" w:rsidP="00D301EC">
            <w:pPr>
              <w:pStyle w:val="Default"/>
              <w:spacing w:before="120" w:after="120"/>
              <w:ind w:left="360"/>
              <w:rPr>
                <w:sz w:val="22"/>
                <w:szCs w:val="22"/>
              </w:rPr>
            </w:pPr>
            <w:r w:rsidRPr="00F54973">
              <w:rPr>
                <w:sz w:val="22"/>
                <w:szCs w:val="22"/>
              </w:rPr>
              <w:t xml:space="preserve">(4) Provides uses which conflict or are incompatible with uses permitted or allowed in the Reuse Plan for the affected property or which conflict or are incompatible with open space, recreational, or habitat management areas within the jurisdiction of the Authority; </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1001"/>
        </w:trPr>
        <w:tc>
          <w:tcPr>
            <w:tcW w:w="3415" w:type="pct"/>
            <w:vAlign w:val="center"/>
          </w:tcPr>
          <w:p w:rsidR="00AE4E85" w:rsidRPr="00F54973" w:rsidRDefault="00AE4E85" w:rsidP="00D301EC">
            <w:pPr>
              <w:pStyle w:val="Default"/>
              <w:spacing w:before="120" w:after="120"/>
              <w:ind w:left="360"/>
              <w:rPr>
                <w:sz w:val="22"/>
                <w:szCs w:val="22"/>
              </w:rPr>
            </w:pPr>
            <w:r w:rsidRPr="00F54973">
              <w:rPr>
                <w:sz w:val="22"/>
                <w:szCs w:val="22"/>
              </w:rPr>
              <w:t xml:space="preserve">(5) Does not require or otherwise provide for the financing and/or installation, construction, and maintenance of all infrastructure necessary to provide adequate public services to the property covered by the legislative land use decision; and </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421"/>
        </w:trPr>
        <w:tc>
          <w:tcPr>
            <w:tcW w:w="3415" w:type="pct"/>
            <w:vAlign w:val="center"/>
          </w:tcPr>
          <w:p w:rsidR="00AE4E85" w:rsidRPr="00F54973" w:rsidRDefault="00AE4E85" w:rsidP="00D301EC">
            <w:pPr>
              <w:pStyle w:val="Default"/>
              <w:spacing w:before="120" w:after="120"/>
              <w:ind w:left="360"/>
              <w:rPr>
                <w:sz w:val="22"/>
                <w:szCs w:val="22"/>
              </w:rPr>
            </w:pPr>
            <w:r w:rsidRPr="00F54973">
              <w:rPr>
                <w:sz w:val="22"/>
                <w:szCs w:val="22"/>
              </w:rPr>
              <w:t xml:space="preserve">(6) Does not require or otherwise provide for implementation of the Fort Ord Habitat Management Plan. </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1641"/>
        </w:trPr>
        <w:tc>
          <w:tcPr>
            <w:tcW w:w="3415" w:type="pct"/>
            <w:vAlign w:val="center"/>
          </w:tcPr>
          <w:p w:rsidR="00AE4E85" w:rsidRPr="00F54973" w:rsidRDefault="00AE4E85" w:rsidP="00D301EC">
            <w:pPr>
              <w:spacing w:before="120" w:after="120"/>
              <w:ind w:left="360" w:hanging="360"/>
              <w:rPr>
                <w:rFonts w:ascii="Arial" w:hAnsi="Arial" w:cs="Arial"/>
                <w:sz w:val="22"/>
                <w:szCs w:val="22"/>
              </w:rPr>
            </w:pPr>
            <w:r w:rsidRPr="00F54973">
              <w:rPr>
                <w:rFonts w:ascii="Arial" w:hAnsi="Arial" w:cs="Arial"/>
                <w:sz w:val="22"/>
                <w:szCs w:val="22"/>
              </w:rPr>
              <w:t>(b)  FORA shall not preclude the transfer of intensity of land uses and/or density of development involving properties within the affected territory as long as the land use decision meets the overall intensity and density criteria of Sections 8.02.010(a)(1) and (2) above as long as the cumulative net density or intensity of the Fort Ord Territory is not increased.</w:t>
            </w:r>
          </w:p>
        </w:tc>
        <w:tc>
          <w:tcPr>
            <w:tcW w:w="1585" w:type="pct"/>
          </w:tcPr>
          <w:p w:rsidR="00AE4E85" w:rsidRPr="00F54973" w:rsidRDefault="00AE4E85" w:rsidP="00D301EC">
            <w:pPr>
              <w:spacing w:before="120" w:after="120"/>
              <w:rPr>
                <w:rFonts w:ascii="Arial" w:hAnsi="Arial" w:cs="Arial"/>
                <w:sz w:val="22"/>
                <w:szCs w:val="22"/>
              </w:rPr>
            </w:pPr>
          </w:p>
        </w:tc>
      </w:tr>
      <w:tr w:rsidR="00AE4E85" w:rsidRPr="00F54973" w:rsidTr="00D301EC">
        <w:trPr>
          <w:trHeight w:val="1914"/>
        </w:trPr>
        <w:tc>
          <w:tcPr>
            <w:tcW w:w="5000" w:type="pct"/>
            <w:gridSpan w:val="2"/>
            <w:vAlign w:val="center"/>
          </w:tcPr>
          <w:p w:rsidR="00AE4E85" w:rsidRPr="00F54973" w:rsidRDefault="00AE4E85" w:rsidP="00D301EC">
            <w:pPr>
              <w:spacing w:before="120" w:after="120"/>
              <w:rPr>
                <w:rFonts w:ascii="Arial" w:hAnsi="Arial" w:cs="Arial"/>
                <w:sz w:val="22"/>
                <w:szCs w:val="22"/>
              </w:rPr>
            </w:pPr>
            <w:r w:rsidRPr="00F54973">
              <w:rPr>
                <w:rFonts w:ascii="Arial" w:hAnsi="Arial" w:cs="Arial"/>
                <w:sz w:val="22"/>
                <w:szCs w:val="22"/>
              </w:rPr>
              <w:t>(c)  The Authority Board, in its discretion, may find a legislative land use decision is in substantial compliance with the Reuse Plan when the Authority Board finds that the applicant land use agency has demonstrated compliance with the provisions specified in this section and Section 8.020.020 of this Master Resolution.</w:t>
            </w:r>
          </w:p>
        </w:tc>
      </w:tr>
    </w:tbl>
    <w:p w:rsidR="00E10555" w:rsidRPr="00F54973" w:rsidRDefault="00E10555" w:rsidP="00473C76">
      <w:pPr>
        <w:pStyle w:val="BodyText"/>
        <w:spacing w:before="120" w:after="120"/>
        <w:rPr>
          <w:sz w:val="22"/>
          <w:szCs w:val="22"/>
        </w:rPr>
      </w:pPr>
    </w:p>
    <w:p w:rsidR="00473C76" w:rsidRPr="00F54973" w:rsidRDefault="00473C76" w:rsidP="00473C76">
      <w:pPr>
        <w:spacing w:before="120" w:after="120"/>
        <w:rPr>
          <w:rFonts w:ascii="Arial" w:hAnsi="Arial" w:cs="Arial"/>
          <w:sz w:val="22"/>
          <w:szCs w:val="22"/>
        </w:rPr>
      </w:pPr>
      <w:bookmarkStart w:id="0" w:name="_GoBack"/>
      <w:bookmarkEnd w:id="0"/>
      <w:r w:rsidRPr="00F54973">
        <w:rPr>
          <w:rFonts w:ascii="Arial" w:hAnsi="Arial" w:cs="Arial"/>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1"/>
        <w:gridCol w:w="3309"/>
      </w:tblGrid>
      <w:tr w:rsidR="000E3CD0" w:rsidRPr="00F54973" w:rsidTr="00F54973">
        <w:trPr>
          <w:trHeight w:val="1334"/>
        </w:trPr>
        <w:tc>
          <w:tcPr>
            <w:tcW w:w="5000" w:type="pct"/>
            <w:gridSpan w:val="2"/>
          </w:tcPr>
          <w:p w:rsidR="000E3CD0" w:rsidRPr="00F54973" w:rsidRDefault="0015627D" w:rsidP="00F54973">
            <w:pPr>
              <w:spacing w:before="120" w:after="120"/>
              <w:ind w:left="450" w:hanging="450"/>
              <w:rPr>
                <w:rFonts w:ascii="Arial" w:hAnsi="Arial" w:cs="Arial"/>
                <w:sz w:val="22"/>
                <w:szCs w:val="22"/>
              </w:rPr>
            </w:pPr>
            <w:r w:rsidRPr="0015627D">
              <w:rPr>
                <w:rFonts w:ascii="Arial" w:hAnsi="Arial" w:cs="Arial"/>
                <w:b/>
                <w:sz w:val="22"/>
                <w:szCs w:val="22"/>
              </w:rPr>
              <w:t>8.02.020</w:t>
            </w:r>
            <w:r>
              <w:rPr>
                <w:rFonts w:ascii="Arial" w:hAnsi="Arial" w:cs="Arial"/>
                <w:sz w:val="22"/>
                <w:szCs w:val="22"/>
              </w:rPr>
              <w:t xml:space="preserve"> </w:t>
            </w:r>
            <w:r w:rsidR="000E3CD0" w:rsidRPr="00F54973">
              <w:rPr>
                <w:rFonts w:ascii="Arial" w:hAnsi="Arial" w:cs="Arial"/>
                <w:sz w:val="22"/>
                <w:szCs w:val="22"/>
              </w:rPr>
              <w:t xml:space="preserve">(a) </w:t>
            </w:r>
            <w:r w:rsidR="001A537A" w:rsidRPr="00F54973">
              <w:rPr>
                <w:rFonts w:ascii="Arial" w:hAnsi="Arial" w:cs="Arial"/>
                <w:sz w:val="22"/>
                <w:szCs w:val="22"/>
              </w:rPr>
              <w:t xml:space="preserve">  </w:t>
            </w:r>
            <w:r w:rsidR="000E3CD0" w:rsidRPr="00F54973">
              <w:rPr>
                <w:rFonts w:ascii="Arial" w:hAnsi="Arial" w:cs="Arial"/>
                <w:sz w:val="22"/>
                <w:szCs w:val="22"/>
              </w:rPr>
              <w:t xml:space="preserve">Prior to approving any development entitlements, each land use agency shall act to protect natural resources and open spaces on Fort Ord Territory by including the open space and conservation policies and programs of the Reuse Plan, applicable to the land use agency, into their respective general, area, and specific plans. </w:t>
            </w:r>
          </w:p>
        </w:tc>
      </w:tr>
      <w:tr w:rsidR="000E3CD0" w:rsidRPr="00F54973" w:rsidTr="00F54973">
        <w:trPr>
          <w:trHeight w:val="1028"/>
        </w:trPr>
        <w:tc>
          <w:tcPr>
            <w:tcW w:w="3415" w:type="pct"/>
          </w:tcPr>
          <w:p w:rsidR="000E3CD0" w:rsidRPr="00F54973" w:rsidRDefault="000E3CD0" w:rsidP="00F54973">
            <w:pPr>
              <w:pStyle w:val="Default"/>
              <w:spacing w:before="120" w:after="120"/>
              <w:ind w:left="360"/>
              <w:rPr>
                <w:sz w:val="22"/>
                <w:szCs w:val="22"/>
              </w:rPr>
            </w:pPr>
            <w:r w:rsidRPr="00F54973">
              <w:rPr>
                <w:sz w:val="22"/>
                <w:szCs w:val="22"/>
              </w:rPr>
              <w:t xml:space="preserve">(1) Each land use agency shall review each application for a development entitlement for compatibility with adjacent open space land uses and require suitable open space buffers to be incorporated into the development plans of any potentially </w:t>
            </w:r>
            <w:r w:rsidR="00490EEB" w:rsidRPr="00F54973">
              <w:rPr>
                <w:sz w:val="22"/>
                <w:szCs w:val="22"/>
              </w:rPr>
              <w:t>incompatible land uses as a condition of project approval.</w:t>
            </w:r>
          </w:p>
        </w:tc>
        <w:tc>
          <w:tcPr>
            <w:tcW w:w="1585" w:type="pct"/>
          </w:tcPr>
          <w:p w:rsidR="000E3CD0" w:rsidRPr="00F54973" w:rsidRDefault="000E3CD0" w:rsidP="00F54973">
            <w:pPr>
              <w:spacing w:before="120" w:after="120"/>
              <w:rPr>
                <w:rFonts w:ascii="Arial" w:hAnsi="Arial" w:cs="Arial"/>
                <w:sz w:val="22"/>
                <w:szCs w:val="22"/>
              </w:rPr>
            </w:pPr>
          </w:p>
        </w:tc>
      </w:tr>
      <w:tr w:rsidR="000E3CD0" w:rsidRPr="00F54973" w:rsidTr="00F54973">
        <w:trPr>
          <w:trHeight w:val="1727"/>
        </w:trPr>
        <w:tc>
          <w:tcPr>
            <w:tcW w:w="3415" w:type="pct"/>
          </w:tcPr>
          <w:p w:rsidR="000E3CD0" w:rsidRPr="00F54973" w:rsidRDefault="000E3CD0" w:rsidP="00F54973">
            <w:pPr>
              <w:autoSpaceDE w:val="0"/>
              <w:autoSpaceDN w:val="0"/>
              <w:adjustRightInd w:val="0"/>
              <w:spacing w:before="120" w:after="120"/>
              <w:ind w:left="360"/>
              <w:rPr>
                <w:rFonts w:ascii="Arial" w:hAnsi="Arial" w:cs="Arial"/>
                <w:sz w:val="22"/>
                <w:szCs w:val="22"/>
              </w:rPr>
            </w:pPr>
            <w:r w:rsidRPr="00F54973">
              <w:rPr>
                <w:rFonts w:ascii="Arial" w:hAnsi="Arial" w:cs="Arial"/>
                <w:sz w:val="22"/>
                <w:szCs w:val="22"/>
              </w:rPr>
              <w:t>(2) When buffers are required as a condition of approval adjacent to Habitat Management areas, the buffer shall be designed in a manner consistent with those guidelines set out in the Habitat Management Plan. Roads shall not be allowed within the buffer area adjacent to Habitat Management areas except for restricted access maintenance or emergency access roads.</w:t>
            </w:r>
          </w:p>
        </w:tc>
        <w:tc>
          <w:tcPr>
            <w:tcW w:w="1585" w:type="pct"/>
          </w:tcPr>
          <w:p w:rsidR="000E3CD0" w:rsidRPr="00F54973" w:rsidRDefault="000E3CD0" w:rsidP="00F54973">
            <w:pPr>
              <w:spacing w:before="120" w:after="120"/>
              <w:rPr>
                <w:rFonts w:ascii="Arial" w:hAnsi="Arial" w:cs="Arial"/>
                <w:sz w:val="22"/>
                <w:szCs w:val="22"/>
              </w:rPr>
            </w:pPr>
          </w:p>
        </w:tc>
      </w:tr>
      <w:tr w:rsidR="00E10555" w:rsidRPr="00F54973" w:rsidTr="00F54973">
        <w:tc>
          <w:tcPr>
            <w:tcW w:w="3415" w:type="pct"/>
          </w:tcPr>
          <w:p w:rsidR="00490EEB" w:rsidRPr="00F54973" w:rsidRDefault="00490EEB" w:rsidP="00F54973">
            <w:pPr>
              <w:spacing w:before="120" w:after="120"/>
              <w:ind w:left="450" w:hanging="450"/>
              <w:rPr>
                <w:rFonts w:ascii="Arial" w:hAnsi="Arial" w:cs="Arial"/>
                <w:sz w:val="22"/>
                <w:szCs w:val="22"/>
              </w:rPr>
            </w:pPr>
            <w:r w:rsidRPr="00F54973">
              <w:rPr>
                <w:rFonts w:ascii="Arial" w:hAnsi="Arial" w:cs="Arial"/>
                <w:sz w:val="22"/>
                <w:szCs w:val="22"/>
              </w:rPr>
              <w:t xml:space="preserve">(b) </w:t>
            </w:r>
            <w:r w:rsidR="00BA5FD7" w:rsidRPr="00F54973">
              <w:rPr>
                <w:rFonts w:ascii="Arial" w:hAnsi="Arial" w:cs="Arial"/>
                <w:sz w:val="22"/>
                <w:szCs w:val="22"/>
              </w:rPr>
              <w:t xml:space="preserve">  </w:t>
            </w:r>
            <w:r w:rsidRPr="00F54973">
              <w:rPr>
                <w:rFonts w:ascii="Arial" w:hAnsi="Arial" w:cs="Arial"/>
                <w:sz w:val="22"/>
                <w:szCs w:val="22"/>
              </w:rPr>
              <w:t>Each land use agency shall include policies and programs in their respective applicable general, area, and specific plans that will ensure consistency of future use of the property within the coastal zone through the master planning process of the California Department of Parks and Recreation, if applicable. All future use of such property shall comply with the requirements of the Coastal Zone Management Act and the California Coastal Act and the coastal consistency determination process.</w:t>
            </w:r>
          </w:p>
        </w:tc>
        <w:tc>
          <w:tcPr>
            <w:tcW w:w="1585" w:type="pct"/>
          </w:tcPr>
          <w:p w:rsidR="00E10555" w:rsidRPr="00F54973" w:rsidRDefault="00E10555" w:rsidP="00F54973">
            <w:pPr>
              <w:spacing w:before="120" w:after="120"/>
              <w:rPr>
                <w:rFonts w:ascii="Arial" w:hAnsi="Arial" w:cs="Arial"/>
                <w:sz w:val="22"/>
                <w:szCs w:val="22"/>
              </w:rPr>
            </w:pPr>
          </w:p>
        </w:tc>
      </w:tr>
      <w:tr w:rsidR="00E10555" w:rsidRPr="00F54973" w:rsidTr="00F54973">
        <w:tc>
          <w:tcPr>
            <w:tcW w:w="3415" w:type="pct"/>
          </w:tcPr>
          <w:p w:rsidR="00E10555"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Monterey County shall include policies and programs in its applicable general, area, and specific plans that will ensure that future development projects at East Garrison are compatible with the historic context and associated land uses and development entitlements are appropriately conditioned prior to approval.</w:t>
            </w:r>
          </w:p>
        </w:tc>
        <w:tc>
          <w:tcPr>
            <w:tcW w:w="1585" w:type="pct"/>
          </w:tcPr>
          <w:p w:rsidR="00E10555" w:rsidRPr="00F54973" w:rsidRDefault="001A537A" w:rsidP="00F54973">
            <w:pPr>
              <w:spacing w:before="120" w:after="120"/>
              <w:rPr>
                <w:rFonts w:ascii="Arial" w:hAnsi="Arial" w:cs="Arial"/>
                <w:sz w:val="22"/>
                <w:szCs w:val="22"/>
              </w:rPr>
            </w:pPr>
            <w:r w:rsidRPr="00F54973">
              <w:rPr>
                <w:rFonts w:ascii="Arial" w:hAnsi="Arial" w:cs="Arial"/>
                <w:sz w:val="22"/>
                <w:szCs w:val="22"/>
              </w:rPr>
              <w:t>(this row does not apply to City proposals)</w:t>
            </w:r>
          </w:p>
        </w:tc>
      </w:tr>
      <w:tr w:rsidR="00E10555" w:rsidRPr="00F54973" w:rsidTr="00F54973">
        <w:tc>
          <w:tcPr>
            <w:tcW w:w="3415" w:type="pct"/>
          </w:tcPr>
          <w:p w:rsidR="00E10555"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shall limit recreation in environmentally sensitive areas, including, but not limited to, dunes and areas with rare, endangered, or threatened plant or animal communities to passive, low intensity recreation, dependent on the resource and compatible with its long term protection. Such policies and programs shall prohibit passive, low-density recreation if the Board finds that such passive, low-density recreation will compromise the ability to maintain an environmentally sensitive resource.</w:t>
            </w:r>
          </w:p>
        </w:tc>
        <w:tc>
          <w:tcPr>
            <w:tcW w:w="1585" w:type="pct"/>
          </w:tcPr>
          <w:p w:rsidR="00E10555" w:rsidRPr="00F54973" w:rsidRDefault="00E10555" w:rsidP="00F54973">
            <w:pPr>
              <w:spacing w:before="120" w:after="120"/>
              <w:rPr>
                <w:rFonts w:ascii="Arial" w:hAnsi="Arial" w:cs="Arial"/>
                <w:sz w:val="22"/>
                <w:szCs w:val="22"/>
              </w:rPr>
            </w:pPr>
          </w:p>
        </w:tc>
      </w:tr>
      <w:tr w:rsidR="00E10555" w:rsidRPr="00F54973" w:rsidTr="00F54973">
        <w:tc>
          <w:tcPr>
            <w:tcW w:w="3415" w:type="pct"/>
          </w:tcPr>
          <w:p w:rsidR="00E10555"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t xml:space="preserve">Each land use agency shall include policies and programs in their respective applicable general, area, and specific plans that shall encourage land uses that are compatible with the character of the surrounding districts or neighborhoods and discourage new land use activities which are potential nuisances and/or hazards within and in close proximity to residential areas. Reuse of property in the </w:t>
            </w:r>
            <w:r w:rsidRPr="00F54973">
              <w:rPr>
                <w:rFonts w:ascii="Arial" w:hAnsi="Arial" w:cs="Arial"/>
                <w:sz w:val="22"/>
                <w:szCs w:val="22"/>
              </w:rPr>
              <w:lastRenderedPageBreak/>
              <w:t>Army urbanized footprint should be encouraged.</w:t>
            </w:r>
          </w:p>
        </w:tc>
        <w:tc>
          <w:tcPr>
            <w:tcW w:w="1585" w:type="pct"/>
          </w:tcPr>
          <w:p w:rsidR="00E10555" w:rsidRPr="00F54973" w:rsidRDefault="00E10555" w:rsidP="00F54973">
            <w:pPr>
              <w:spacing w:before="120" w:after="120"/>
              <w:rPr>
                <w:rFonts w:ascii="Arial" w:hAnsi="Arial" w:cs="Arial"/>
                <w:sz w:val="22"/>
                <w:szCs w:val="22"/>
              </w:rPr>
            </w:pPr>
          </w:p>
        </w:tc>
      </w:tr>
      <w:tr w:rsidR="00E10555" w:rsidRPr="00F54973" w:rsidTr="00F54973">
        <w:tc>
          <w:tcPr>
            <w:tcW w:w="3415" w:type="pct"/>
          </w:tcPr>
          <w:p w:rsidR="00E10555" w:rsidRPr="00F54973" w:rsidRDefault="00D3198F" w:rsidP="00F54973">
            <w:pPr>
              <w:numPr>
                <w:ilvl w:val="0"/>
                <w:numId w:val="3"/>
              </w:numPr>
              <w:spacing w:before="120" w:after="120"/>
              <w:rPr>
                <w:rFonts w:ascii="Arial" w:hAnsi="Arial" w:cs="Arial"/>
                <w:sz w:val="22"/>
                <w:szCs w:val="22"/>
              </w:rPr>
            </w:pPr>
            <w:r w:rsidRPr="00F54973">
              <w:rPr>
                <w:rFonts w:ascii="Arial" w:hAnsi="Arial" w:cs="Arial"/>
                <w:sz w:val="22"/>
                <w:szCs w:val="22"/>
              </w:rPr>
              <w:lastRenderedPageBreak/>
              <w:t>Each land use agency with jurisdiction over property in the Army urbanized footprint shall adopt the cultural resources policies and programs of the Reuse Plan concerning historic preservation, and shall provide appropriate incentives for historic preservation and reuse of historic property, as determined by the affected land use agency, in their respective applicable general, area, and specific plans.</w:t>
            </w:r>
          </w:p>
        </w:tc>
        <w:tc>
          <w:tcPr>
            <w:tcW w:w="1585" w:type="pct"/>
          </w:tcPr>
          <w:p w:rsidR="00E10555" w:rsidRPr="00F54973" w:rsidRDefault="00E10555"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The County of Monterey shall amend the Greater Monterey Peninsula Area Plan and designate the Historic East Garrison Area as an historic district in the County Reservation Road Planning Area. The East Garrison shall be planned and zoned for planned development mixed uses consistent with the Reuse Plan. In order to implement this aspect of the plan, the County shall adopt at least one specific plan for the East Garrison area and such specific plan shall be approved before any development entitlement shall be approved for such area.</w:t>
            </w:r>
          </w:p>
        </w:tc>
        <w:tc>
          <w:tcPr>
            <w:tcW w:w="1585" w:type="pct"/>
          </w:tcPr>
          <w:p w:rsidR="001A537A" w:rsidRPr="00F54973" w:rsidRDefault="001A537A" w:rsidP="00F54973">
            <w:pPr>
              <w:spacing w:before="120" w:after="120"/>
              <w:rPr>
                <w:rFonts w:ascii="Arial" w:hAnsi="Arial" w:cs="Arial"/>
                <w:sz w:val="22"/>
                <w:szCs w:val="22"/>
              </w:rPr>
            </w:pPr>
            <w:r w:rsidRPr="00F54973">
              <w:rPr>
                <w:rFonts w:ascii="Arial" w:hAnsi="Arial" w:cs="Arial"/>
                <w:sz w:val="22"/>
                <w:szCs w:val="22"/>
              </w:rPr>
              <w:t>(this row does not apply to City proposals)</w:t>
            </w: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shall support all actions necessary to ensure that sewage treatment facilities operate in compliance with waste discharge requirements adopted by the California Regional Water Quality Control Board.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431"/>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 xml:space="preserve">Each land use agency shall adopt the following policies and programs: </w:t>
            </w:r>
          </w:p>
        </w:tc>
      </w:tr>
      <w:tr w:rsidR="001A537A" w:rsidRPr="00F54973" w:rsidTr="00F54973">
        <w:trPr>
          <w:trHeight w:val="1212"/>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 xml:space="preserve">(1) A solid waste reduction and recycling program applicable to Fort Ord Territory consistent with the provisions of the California Integrated Waste Management Act of 1989, Public Resources Code Section 40000 </w:t>
            </w:r>
            <w:r w:rsidRPr="00F54973">
              <w:rPr>
                <w:rFonts w:ascii="Arial" w:hAnsi="Arial" w:cs="Arial"/>
                <w:i/>
                <w:iCs/>
                <w:sz w:val="22"/>
                <w:szCs w:val="22"/>
              </w:rPr>
              <w:t>et seq.</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A program that will ensure that each land use agency carries out all action necessary to ensure that the installation of water supply wells comply with State of California Water Well Standards and well standards established by the Monterey County Health Department; and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(3) A program that will ensure that each land use agency carries out all actions necessary to ensure that distribution and storage of potable and non-potable water comply with State Health Department regulations.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908"/>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to address water supply and water conservation. Such policies and programs shall include the following:</w:t>
            </w:r>
          </w:p>
        </w:tc>
      </w:tr>
      <w:tr w:rsidR="001A537A" w:rsidRPr="00F54973" w:rsidTr="00F54973">
        <w:trPr>
          <w:trHeight w:val="1212"/>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(1) Identification of, with the assistance of the Monterey County Water Resources Agency and the Monterey Peninsula Water Management District, potential reservoir and water impoundment sites and zoning of such sites for watershed use, thereby precluding urban development;</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lastRenderedPageBreak/>
              <w:t>(2) Commence working with appropriate agencies to determine the feasibility of development additional water supply sources, such as water importation and desalination, and actively participate in implementing the most viable option or options;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(3) Adoption and enforcement of a water conservation ordinance which includes requirements for plumbing retrofits and is at least astringent as Regulation 13 of the Monterey Peninsula Water Management District, to reduce both water demand and effluent generation.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(4) Active participation in support of the development of “reclaimed” or “recycled” water supply sources by the water purveyor and the Monterey Regional Water Pollution Control Agency to ensure adequate water supplies for the territory within the jurisdiction of the Authority.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(5) Promotion of the use of on-site water collection, incorporating measures such as cisterns or other appropriate improvements to collect surface water for in-tract irrigation and other non-potable use.</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(6) Adoption of policies and programs consistent with the Authority’s Development and Resource Management Plan to establish programs and monitor development of territory within the jurisdiction of the Authority to assure that it does not exceed resource constraints posed by water supply.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(7) Adoption of appropriate land use regulations that will ensure that development entitlements will not be approved until there is verification of an assured long- term water supply for such development entitlements.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(8) Participation in the development and implementation of measures that will prevent seawater intrusion into the Salinas Valley and Seaside groundwater basins.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(9) Implementation of feasible water conservation methods where and when determined appropriate by the land use agency, consistent with the Reuse Plan, including; dual plumbing using non-potable water for appropriate functions; cistern systems for roof-top run-off; mandatory use of reclaimed water for any new golf courses; limitation on the use of potable water for golf courses; and publication of annual water reports disclosing water consumption by types of use.</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133"/>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will require new development to demonstrate that all measures will be taken to ensure that storm water runoff is minimized and infiltration maximized in groundwater recharge areas. Such policies and programs shall include:</w:t>
            </w:r>
          </w:p>
        </w:tc>
      </w:tr>
      <w:tr w:rsidR="001A537A" w:rsidRPr="00F54973" w:rsidTr="00F54973">
        <w:trPr>
          <w:trHeight w:val="1703"/>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lastRenderedPageBreak/>
              <w:t>(1) Preparation, adoption, and enforcement of a storm water detention plan that identifies potential storm water detention design and implementation measures to be considered in all new development, in order to increase groundwater recharge and thereby reduce potential for further seawater intrusion and provide for an augmentation of future water supplies.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Preparation, adoption, and enforcement of a Master Drainage Plan to assess the existing natural and man- made drainage facilities, recommend area-wide improvements based on the approved Reuse Plan, and develop plans for the control of storm water runoff from future development. Such plans for control of storm water runoff shall consider and minimize any potential for groundwater degradation and provide for the long term monitoring and maintenance of all storm water retention ponds.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policies and programs that ensure that all proposed land uses on the Fort Ord Territory are consistent with the hazardous and toxic materials clean-up levels as specified by state and federal regulation.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and enforce an ordinance acceptable to the California Department of Toxic Substances Control (“DTSC”) to control and restrict excavation or any soil movement on those parcels of the Fort Ord Territory, which were contaminated with unexploded ordnance, and explosives. Such ordinance shall prohibit any digging, excavation, development, or ground disturbance of any type to be caused or otherwise allowed to occur without compliance with the ordinance. A land use agency shall not make any substantive change to such ordinance without prior notice to and approval by DTSC.</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205"/>
        </w:trPr>
        <w:tc>
          <w:tcPr>
            <w:tcW w:w="5000" w:type="pct"/>
            <w:gridSpan w:val="2"/>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will help ensure an efficient regional transportation network to access the territory under the jurisdiction of the Authority, consistent with the standards of the Transportation Agency of Monterey County. Such policies and programs shall include:</w:t>
            </w:r>
          </w:p>
        </w:tc>
      </w:tr>
      <w:tr w:rsidR="001A537A" w:rsidRPr="00F54973" w:rsidTr="00F54973">
        <w:trPr>
          <w:trHeight w:val="1229"/>
        </w:trPr>
        <w:tc>
          <w:tcPr>
            <w:tcW w:w="3415" w:type="pct"/>
          </w:tcPr>
          <w:p w:rsidR="001A537A" w:rsidRPr="00F54973" w:rsidRDefault="001A537A" w:rsidP="00F54973">
            <w:pPr>
              <w:pStyle w:val="BodyText2"/>
              <w:spacing w:before="120" w:after="120"/>
              <w:ind w:left="540"/>
              <w:rPr>
                <w:szCs w:val="22"/>
              </w:rPr>
            </w:pPr>
            <w:r w:rsidRPr="00F54973">
              <w:rPr>
                <w:szCs w:val="22"/>
              </w:rPr>
              <w:t xml:space="preserve">(1) Establishment and provision of a dedicated funding mechanism to pay for the “fair share” of the impact on the regional transportation system caused or contributed by development on territory within the jurisdiction of the Authority; and </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790"/>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Support and participate in regional and state planning efforts and funding programs to provide an efficient regional transportation effort to access Fort Ord Territory.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rPr>
          <w:trHeight w:val="1169"/>
        </w:trPr>
        <w:tc>
          <w:tcPr>
            <w:tcW w:w="5000" w:type="pct"/>
            <w:gridSpan w:val="2"/>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ensure that the design and construction of all major arterials within the territory under the jurisdiction of the Authority will have direct connections to the regional network consistent with the Reuse Plan. Such plans and policies shall include:</w:t>
            </w:r>
          </w:p>
        </w:tc>
      </w:tr>
      <w:tr w:rsidR="001A537A" w:rsidRPr="00F54973" w:rsidTr="00F54973">
        <w:trPr>
          <w:trHeight w:val="1264"/>
        </w:trPr>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(1) Preparation and adoption of policies and programs consistent with the Authority’s Development and Resource Management Plan to establish programs and monitor development to assure that it does not exceed resource constraints posed by transportation facilities: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(2) Design and construction of an efficient system of arterials in order to connect to the regional transportation system; and</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autoSpaceDE w:val="0"/>
              <w:autoSpaceDN w:val="0"/>
              <w:adjustRightInd w:val="0"/>
              <w:spacing w:before="120" w:after="120"/>
              <w:ind w:left="540"/>
              <w:rPr>
                <w:rFonts w:ascii="Arial" w:hAnsi="Arial" w:cs="Arial"/>
                <w:sz w:val="22"/>
                <w:szCs w:val="22"/>
              </w:rPr>
            </w:pPr>
            <w:r w:rsidRPr="00F54973">
              <w:rPr>
                <w:rFonts w:ascii="Arial" w:hAnsi="Arial" w:cs="Arial"/>
                <w:sz w:val="22"/>
                <w:szCs w:val="22"/>
              </w:rPr>
              <w:t>(3) Designate local truck routes to have direct access to regional and national truck routes and to provide adequate movement of goods into and out of the territory under the jurisdiction of the Authority.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to provide regional bus service and facilities to serve key activity centers and key corridors within the territory under the jurisdiction of the Authority in a manner consistent with the Reuse Plan.</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adopt policies and programs that ensure development and cooperation in a regional law enforcement program that promotes joint efficiencies in operations, identifies additional law enforcement needs, and identifies and seeks to secure the appropriate funding mechanisms to provide the required services.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ensure development of a regional fire protection program that promotes joint efficiencies in operations, identifies additional fire protection needs, and identifies and seeks to secure the appropriate funding mechanisms to provide the required services.</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F54973">
        <w:tc>
          <w:tcPr>
            <w:tcW w:w="3415" w:type="pct"/>
          </w:tcPr>
          <w:p w:rsidR="001A537A" w:rsidRPr="00F54973" w:rsidRDefault="001A537A" w:rsidP="00F54973">
            <w:pPr>
              <w:numPr>
                <w:ilvl w:val="0"/>
                <w:numId w:val="3"/>
              </w:numPr>
              <w:autoSpaceDE w:val="0"/>
              <w:autoSpaceDN w:val="0"/>
              <w:adjustRightInd w:val="0"/>
              <w:spacing w:before="120" w:after="120"/>
              <w:rPr>
                <w:rFonts w:ascii="Arial" w:hAnsi="Arial" w:cs="Arial"/>
                <w:sz w:val="22"/>
                <w:szCs w:val="22"/>
              </w:rPr>
            </w:pPr>
            <w:r w:rsidRPr="00F54973">
              <w:rPr>
                <w:rFonts w:ascii="Arial" w:hAnsi="Arial" w:cs="Arial"/>
                <w:sz w:val="22"/>
                <w:szCs w:val="22"/>
              </w:rPr>
              <w:t>Each land use agency shall include policies and programs in their respective applicable general, area, and specific plans that will ensure that native plants from on-site stock will be used in all landscaping except for turf areas, where practical and appropriate. In areas of native plant restoration, all cultivars, including, but not limited to, manzanita and ceanothus, shall be obtained from stock originating on Fort Ord Territory.</w:t>
            </w:r>
          </w:p>
        </w:tc>
        <w:tc>
          <w:tcPr>
            <w:tcW w:w="1585" w:type="pct"/>
          </w:tcPr>
          <w:p w:rsidR="001A537A" w:rsidRPr="00F54973" w:rsidRDefault="001A537A" w:rsidP="00F54973">
            <w:pPr>
              <w:spacing w:before="120" w:after="120"/>
              <w:rPr>
                <w:rFonts w:ascii="Arial" w:hAnsi="Arial" w:cs="Arial"/>
                <w:sz w:val="22"/>
                <w:szCs w:val="22"/>
              </w:rPr>
            </w:pPr>
          </w:p>
        </w:tc>
      </w:tr>
      <w:tr w:rsidR="001A537A" w:rsidRPr="00F54973" w:rsidTr="0015627D">
        <w:tc>
          <w:tcPr>
            <w:tcW w:w="3415" w:type="pct"/>
            <w:tcBorders>
              <w:bottom w:val="single" w:sz="4" w:space="0" w:color="auto"/>
            </w:tcBorders>
          </w:tcPr>
          <w:p w:rsidR="001A537A" w:rsidRPr="00F54973" w:rsidRDefault="001A537A" w:rsidP="00F54973">
            <w:pPr>
              <w:numPr>
                <w:ilvl w:val="0"/>
                <w:numId w:val="3"/>
              </w:numPr>
              <w:spacing w:before="120" w:after="120"/>
              <w:rPr>
                <w:rFonts w:ascii="Arial" w:hAnsi="Arial" w:cs="Arial"/>
                <w:sz w:val="22"/>
                <w:szCs w:val="22"/>
              </w:rPr>
            </w:pPr>
            <w:r w:rsidRPr="00F54973">
              <w:rPr>
                <w:rFonts w:ascii="Arial" w:hAnsi="Arial" w:cs="Arial"/>
                <w:sz w:val="22"/>
                <w:szCs w:val="22"/>
              </w:rPr>
              <w:t>Each land use agency shall include policies and programs in their general, area, and specific plans that will ensure compliance with the 1997 adopted FORA Reuse Plan jobs/housing balance provisions. The policies and programs for the provision of housing must include flexible targets that generally correspond with expected job creation on the former Fort Ord. It is recognized that, in addressing the Reuse Plan jobs/housing balance, such flexible targets will likely result in the availability of affordable housing in excess of the minimum 20% local jurisdictional inclusionary housing figure, which could result in a range of 21% - 40% below market housing. Each land use agency should describe how their local inclusionary housing policies, where applicable, address the Reuse Plan jobs/housing balance provisions.</w:t>
            </w:r>
          </w:p>
        </w:tc>
        <w:tc>
          <w:tcPr>
            <w:tcW w:w="1585" w:type="pct"/>
            <w:tcBorders>
              <w:bottom w:val="single" w:sz="4" w:space="0" w:color="auto"/>
            </w:tcBorders>
          </w:tcPr>
          <w:p w:rsidR="001A537A" w:rsidRPr="00F54973" w:rsidRDefault="001A537A" w:rsidP="00F54973">
            <w:pPr>
              <w:spacing w:before="120" w:after="120"/>
              <w:rPr>
                <w:rFonts w:ascii="Arial" w:hAnsi="Arial" w:cs="Arial"/>
                <w:sz w:val="22"/>
                <w:szCs w:val="22"/>
              </w:rPr>
            </w:pPr>
          </w:p>
        </w:tc>
      </w:tr>
    </w:tbl>
    <w:p w:rsidR="00D3198F" w:rsidRPr="00F54973" w:rsidRDefault="00D3198F" w:rsidP="00F54973">
      <w:pPr>
        <w:spacing w:before="120" w:after="120"/>
        <w:rPr>
          <w:rFonts w:ascii="Arial" w:hAnsi="Arial" w:cs="Arial"/>
          <w:b/>
          <w:bCs/>
          <w:sz w:val="22"/>
          <w:szCs w:val="22"/>
        </w:rPr>
      </w:pPr>
    </w:p>
    <w:sectPr w:rsidR="00D3198F" w:rsidRPr="00F54973" w:rsidSect="00E10555">
      <w:headerReference w:type="default"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85" w:rsidRDefault="00AE4E85" w:rsidP="00AE4E85">
      <w:r>
        <w:separator/>
      </w:r>
    </w:p>
  </w:endnote>
  <w:endnote w:type="continuationSeparator" w:id="0">
    <w:p w:rsidR="00AE4E85" w:rsidRDefault="00AE4E85" w:rsidP="00AE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85" w:rsidRPr="00AE4E85" w:rsidRDefault="00AE4E85">
    <w:pPr>
      <w:pStyle w:val="Footer"/>
      <w:jc w:val="center"/>
      <w:rPr>
        <w:rFonts w:ascii="Cambria" w:hAnsi="Cambria"/>
      </w:rPr>
    </w:pPr>
    <w:r w:rsidRPr="00AE4E85">
      <w:rPr>
        <w:rFonts w:ascii="Cambria" w:hAnsi="Cambria"/>
      </w:rPr>
      <w:t xml:space="preserve">Page </w:t>
    </w:r>
    <w:r w:rsidRPr="00AE4E85">
      <w:rPr>
        <w:rFonts w:ascii="Cambria" w:hAnsi="Cambria"/>
        <w:b/>
        <w:bCs/>
      </w:rPr>
      <w:fldChar w:fldCharType="begin"/>
    </w:r>
    <w:r w:rsidRPr="00AE4E85">
      <w:rPr>
        <w:rFonts w:ascii="Cambria" w:hAnsi="Cambria"/>
        <w:b/>
        <w:bCs/>
      </w:rPr>
      <w:instrText xml:space="preserve"> PAGE </w:instrText>
    </w:r>
    <w:r w:rsidRPr="00AE4E85">
      <w:rPr>
        <w:rFonts w:ascii="Cambria" w:hAnsi="Cambria"/>
        <w:b/>
        <w:bCs/>
      </w:rPr>
      <w:fldChar w:fldCharType="separate"/>
    </w:r>
    <w:r w:rsidRPr="00AE4E85">
      <w:rPr>
        <w:rFonts w:ascii="Cambria" w:hAnsi="Cambria"/>
        <w:b/>
        <w:bCs/>
        <w:noProof/>
      </w:rPr>
      <w:t>5</w:t>
    </w:r>
    <w:r w:rsidRPr="00AE4E85">
      <w:rPr>
        <w:rFonts w:ascii="Cambria" w:hAnsi="Cambria"/>
        <w:b/>
        <w:bCs/>
      </w:rPr>
      <w:fldChar w:fldCharType="end"/>
    </w:r>
    <w:r w:rsidRPr="00AE4E85">
      <w:rPr>
        <w:rFonts w:ascii="Cambria" w:hAnsi="Cambria"/>
      </w:rPr>
      <w:t xml:space="preserve"> of </w:t>
    </w:r>
    <w:r w:rsidRPr="00AE4E85">
      <w:rPr>
        <w:rFonts w:ascii="Cambria" w:hAnsi="Cambria"/>
        <w:b/>
        <w:bCs/>
      </w:rPr>
      <w:fldChar w:fldCharType="begin"/>
    </w:r>
    <w:r w:rsidRPr="00AE4E85">
      <w:rPr>
        <w:rFonts w:ascii="Cambria" w:hAnsi="Cambria"/>
        <w:b/>
        <w:bCs/>
      </w:rPr>
      <w:instrText xml:space="preserve"> NUMPAGES  </w:instrText>
    </w:r>
    <w:r w:rsidRPr="00AE4E85">
      <w:rPr>
        <w:rFonts w:ascii="Cambria" w:hAnsi="Cambria"/>
        <w:b/>
        <w:bCs/>
      </w:rPr>
      <w:fldChar w:fldCharType="separate"/>
    </w:r>
    <w:r w:rsidRPr="00AE4E85">
      <w:rPr>
        <w:rFonts w:ascii="Cambria" w:hAnsi="Cambria"/>
        <w:b/>
        <w:bCs/>
        <w:noProof/>
      </w:rPr>
      <w:t>7</w:t>
    </w:r>
    <w:r w:rsidRPr="00AE4E85">
      <w:rPr>
        <w:rFonts w:ascii="Cambria" w:hAnsi="Cambria"/>
        <w:b/>
        <w:bCs/>
      </w:rPr>
      <w:fldChar w:fldCharType="end"/>
    </w:r>
  </w:p>
  <w:p w:rsidR="00AE4E85" w:rsidRDefault="00AE4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85" w:rsidRDefault="00AE4E85" w:rsidP="00AE4E85">
      <w:r>
        <w:separator/>
      </w:r>
    </w:p>
  </w:footnote>
  <w:footnote w:type="continuationSeparator" w:id="0">
    <w:p w:rsidR="00AE4E85" w:rsidRDefault="00AE4E85" w:rsidP="00AE4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85" w:rsidRPr="00AE4E85" w:rsidRDefault="00AE4E85" w:rsidP="00AE4E85">
    <w:pPr>
      <w:pStyle w:val="Header"/>
      <w:jc w:val="center"/>
      <w:rPr>
        <w:rFonts w:ascii="Cambria" w:hAnsi="Cambria"/>
      </w:rPr>
    </w:pPr>
    <w:r w:rsidRPr="00AE4E85">
      <w:rPr>
        <w:rFonts w:ascii="Cambria" w:hAnsi="Cambria"/>
      </w:rPr>
      <w:t>FORA Consistency Determination Analysis Table</w:t>
    </w:r>
  </w:p>
  <w:p w:rsidR="00AE4E85" w:rsidRPr="00AE4E85" w:rsidRDefault="00AE4E85" w:rsidP="00AE4E85">
    <w:pPr>
      <w:pStyle w:val="Header"/>
      <w:jc w:val="center"/>
      <w:rPr>
        <w:rFonts w:ascii="Cambria" w:hAnsi="Cambria"/>
      </w:rPr>
    </w:pPr>
    <w:r w:rsidRPr="00AE4E85">
      <w:rPr>
        <w:rFonts w:ascii="Cambria" w:hAnsi="Cambria"/>
      </w:rPr>
      <w:t>Legislative Land Use Decisions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6703"/>
    <w:multiLevelType w:val="hybridMultilevel"/>
    <w:tmpl w:val="38045C4E"/>
    <w:lvl w:ilvl="0" w:tplc="61FC894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90B0E7D"/>
    <w:multiLevelType w:val="hybridMultilevel"/>
    <w:tmpl w:val="EE8E71A0"/>
    <w:lvl w:ilvl="0" w:tplc="C91CEDA2">
      <w:start w:val="1"/>
      <w:numFmt w:val="lowerLetter"/>
      <w:lvlText w:val="(%1)"/>
      <w:lvlJc w:val="left"/>
      <w:pPr>
        <w:tabs>
          <w:tab w:val="num" w:pos="384"/>
        </w:tabs>
        <w:ind w:left="384" w:hanging="38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ADF0D87"/>
    <w:multiLevelType w:val="hybridMultilevel"/>
    <w:tmpl w:val="76447328"/>
    <w:lvl w:ilvl="0" w:tplc="9B348DE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D1D"/>
    <w:rsid w:val="000E3CD0"/>
    <w:rsid w:val="0015627D"/>
    <w:rsid w:val="001A38E7"/>
    <w:rsid w:val="001A537A"/>
    <w:rsid w:val="00357807"/>
    <w:rsid w:val="00473C76"/>
    <w:rsid w:val="00473D1D"/>
    <w:rsid w:val="00487322"/>
    <w:rsid w:val="00490EEB"/>
    <w:rsid w:val="00AE4E85"/>
    <w:rsid w:val="00BA5FD7"/>
    <w:rsid w:val="00D3198F"/>
    <w:rsid w:val="00DB50FC"/>
    <w:rsid w:val="00E10555"/>
    <w:rsid w:val="00EB3D24"/>
    <w:rsid w:val="00F5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242416-A092-4FEB-AF63-00E717D9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5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10555"/>
    <w:rPr>
      <w:rFonts w:ascii="Arial" w:hAnsi="Arial" w:cs="Arial"/>
      <w:b/>
      <w:bCs/>
    </w:rPr>
  </w:style>
  <w:style w:type="paragraph" w:styleId="BodyText2">
    <w:name w:val="Body Text 2"/>
    <w:basedOn w:val="Normal"/>
    <w:semiHidden/>
    <w:rsid w:val="00E10555"/>
    <w:pPr>
      <w:autoSpaceDE w:val="0"/>
      <w:autoSpaceDN w:val="0"/>
      <w:adjustRightInd w:val="0"/>
    </w:pPr>
    <w:rPr>
      <w:rFonts w:ascii="Arial" w:hAnsi="Arial" w:cs="Arial"/>
      <w:sz w:val="22"/>
    </w:rPr>
  </w:style>
  <w:style w:type="paragraph" w:customStyle="1" w:styleId="Default">
    <w:name w:val="Default"/>
    <w:rsid w:val="00DB50F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E4E85"/>
    <w:pPr>
      <w:tabs>
        <w:tab w:val="center" w:pos="4680"/>
        <w:tab w:val="right" w:pos="9360"/>
      </w:tabs>
    </w:pPr>
  </w:style>
  <w:style w:type="character" w:customStyle="1" w:styleId="HeaderChar">
    <w:name w:val="Header Char"/>
    <w:link w:val="Header"/>
    <w:uiPriority w:val="99"/>
    <w:rsid w:val="00AE4E85"/>
    <w:rPr>
      <w:sz w:val="24"/>
      <w:szCs w:val="24"/>
    </w:rPr>
  </w:style>
  <w:style w:type="paragraph" w:styleId="Footer">
    <w:name w:val="footer"/>
    <w:basedOn w:val="Normal"/>
    <w:link w:val="FooterChar"/>
    <w:uiPriority w:val="99"/>
    <w:unhideWhenUsed/>
    <w:rsid w:val="00AE4E85"/>
    <w:pPr>
      <w:tabs>
        <w:tab w:val="center" w:pos="4680"/>
        <w:tab w:val="right" w:pos="9360"/>
      </w:tabs>
    </w:pPr>
  </w:style>
  <w:style w:type="character" w:customStyle="1" w:styleId="FooterChar">
    <w:name w:val="Footer Char"/>
    <w:link w:val="Footer"/>
    <w:uiPriority w:val="99"/>
    <w:rsid w:val="00AE4E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E1028-6EBE-471B-93EF-4497EFD1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Consistency Analysis – Marina General Plan Amendments with FORA Master Resolution</vt:lpstr>
    </vt:vector>
  </TitlesOfParts>
  <Company>FORA</Company>
  <LinksUpToDate>false</LinksUpToDate>
  <CharactersWithSpaces>15886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Consistency Analysis – Marina General Plan Amendments with FORA Master Resolution</dc:title>
  <dc:creator>Jonathan Garcia</dc:creator>
  <cp:lastModifiedBy>Josh Metz</cp:lastModifiedBy>
  <cp:revision>3</cp:revision>
  <dcterms:created xsi:type="dcterms:W3CDTF">2013-07-08T23:28:00Z</dcterms:created>
  <dcterms:modified xsi:type="dcterms:W3CDTF">2014-02-26T19:31:00Z</dcterms:modified>
</cp:coreProperties>
</file>